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6F2B" w14:textId="1C02B285" w:rsidR="00AD7C53" w:rsidRDefault="00613DC6" w:rsidP="00B51446">
      <w:pPr>
        <w:pStyle w:val="CoverHeadline"/>
        <w:spacing w:before="320"/>
        <w:rPr>
          <w:lang w:val="en-GB" w:eastAsia="de-DE"/>
        </w:rPr>
      </w:pPr>
      <w:r>
        <w:rPr>
          <w:lang w:val="en-GB" w:eastAsia="de-DE"/>
        </w:rPr>
        <w:t>INformation Phasing out</w:t>
      </w:r>
    </w:p>
    <w:p w14:paraId="0558A627" w14:textId="71A77019" w:rsidR="00656818" w:rsidRDefault="00613DC6" w:rsidP="00613DC6">
      <w:pPr>
        <w:pStyle w:val="berschrift1"/>
      </w:pPr>
      <w:r w:rsidRPr="00613DC6">
        <w:t>Einreichung Phasing-out</w:t>
      </w:r>
    </w:p>
    <w:p w14:paraId="742F1DE9" w14:textId="162C373D" w:rsidR="00613DC6" w:rsidRPr="008310E0" w:rsidRDefault="00613DC6" w:rsidP="00613DC6">
      <w:pPr>
        <w:rPr>
          <w:color w:val="auto"/>
        </w:rPr>
      </w:pPr>
      <w:r>
        <w:t xml:space="preserve">Alle Informationen und Vorlagen finden Sie auf </w:t>
      </w:r>
      <w:r w:rsidRPr="007A3F12">
        <w:t xml:space="preserve">der </w:t>
      </w:r>
      <w:hyperlink r:id="rId8" w:anchor="stadium5" w:history="1">
        <w:r w:rsidRPr="007A3F12">
          <w:rPr>
            <w:rStyle w:val="Hyperlink"/>
          </w:rPr>
          <w:t>FFG-Homepage</w:t>
        </w:r>
      </w:hyperlink>
      <w:r w:rsidRPr="007A3F12">
        <w:t>. Eine</w:t>
      </w:r>
      <w:r>
        <w:t xml:space="preserve"> Übersicht über die </w:t>
      </w:r>
      <w:r w:rsidRPr="008310E0">
        <w:rPr>
          <w:color w:val="auto"/>
        </w:rPr>
        <w:t xml:space="preserve">Einreichungsunterlagen sind in der Vorlage </w:t>
      </w:r>
      <w:proofErr w:type="spellStart"/>
      <w:r w:rsidRPr="008310E0">
        <w:rPr>
          <w:color w:val="auto"/>
        </w:rPr>
        <w:t>Phasing</w:t>
      </w:r>
      <w:proofErr w:type="spellEnd"/>
      <w:r w:rsidRPr="008310E0">
        <w:rPr>
          <w:color w:val="auto"/>
        </w:rPr>
        <w:t>-out-P</w:t>
      </w:r>
      <w:r w:rsidR="00B51446" w:rsidRPr="008310E0">
        <w:rPr>
          <w:color w:val="auto"/>
        </w:rPr>
        <w:t>lan unter Checkliste zu finden.</w:t>
      </w:r>
    </w:p>
    <w:p w14:paraId="4E9B77E4" w14:textId="28A88593" w:rsidR="00613DC6" w:rsidRPr="008310E0" w:rsidRDefault="00613DC6" w:rsidP="00613DC6">
      <w:pPr>
        <w:rPr>
          <w:color w:val="auto"/>
        </w:rPr>
      </w:pPr>
      <w:r w:rsidRPr="008310E0">
        <w:rPr>
          <w:color w:val="auto"/>
        </w:rPr>
        <w:t xml:space="preserve">Die Kosten- und Finanzierungsübersicht des </w:t>
      </w:r>
      <w:proofErr w:type="spellStart"/>
      <w:r w:rsidRPr="008310E0">
        <w:rPr>
          <w:color w:val="auto"/>
        </w:rPr>
        <w:t>Phasing</w:t>
      </w:r>
      <w:proofErr w:type="spellEnd"/>
      <w:r w:rsidRPr="008310E0">
        <w:rPr>
          <w:color w:val="auto"/>
        </w:rPr>
        <w:t xml:space="preserve">-outs entnehmen Sie den </w:t>
      </w:r>
      <w:proofErr w:type="spellStart"/>
      <w:r w:rsidRPr="008310E0">
        <w:rPr>
          <w:color w:val="auto"/>
        </w:rPr>
        <w:t>Conclusions</w:t>
      </w:r>
      <w:proofErr w:type="spellEnd"/>
      <w:r w:rsidRPr="008310E0">
        <w:rPr>
          <w:color w:val="auto"/>
        </w:rPr>
        <w:t xml:space="preserve"> der </w:t>
      </w:r>
      <w:r w:rsidR="00EE7278" w:rsidRPr="008310E0">
        <w:rPr>
          <w:color w:val="auto"/>
        </w:rPr>
        <w:t>Evaluierung</w:t>
      </w:r>
      <w:r w:rsidRPr="008310E0">
        <w:rPr>
          <w:color w:val="auto"/>
        </w:rPr>
        <w:t xml:space="preserve"> vom </w:t>
      </w:r>
      <w:r w:rsidR="00FB069A" w:rsidRPr="008310E0">
        <w:rPr>
          <w:color w:val="auto"/>
        </w:rPr>
        <w:t>25</w:t>
      </w:r>
      <w:r w:rsidRPr="008310E0">
        <w:rPr>
          <w:color w:val="auto"/>
        </w:rPr>
        <w:t>.6.202</w:t>
      </w:r>
      <w:r w:rsidR="00EE7278" w:rsidRPr="008310E0">
        <w:rPr>
          <w:color w:val="auto"/>
        </w:rPr>
        <w:t>4</w:t>
      </w:r>
      <w:r w:rsidR="007A3F12" w:rsidRPr="008310E0">
        <w:rPr>
          <w:color w:val="auto"/>
        </w:rPr>
        <w:t>,</w:t>
      </w:r>
      <w:r w:rsidRPr="008310E0">
        <w:rPr>
          <w:color w:val="auto"/>
        </w:rPr>
        <w:t xml:space="preserve"> welche Ihnen via </w:t>
      </w:r>
      <w:proofErr w:type="spellStart"/>
      <w:r w:rsidRPr="008310E0">
        <w:rPr>
          <w:color w:val="auto"/>
        </w:rPr>
        <w:t>eCall</w:t>
      </w:r>
      <w:proofErr w:type="spellEnd"/>
      <w:r w:rsidRPr="008310E0">
        <w:rPr>
          <w:color w:val="auto"/>
        </w:rPr>
        <w:t xml:space="preserve">-Nachricht zur Verfügung gestellt werden. Es gilt der </w:t>
      </w:r>
      <w:bookmarkStart w:id="0" w:name="_GoBack"/>
      <w:r w:rsidR="009E32E3" w:rsidRPr="009F1470">
        <w:rPr>
          <w:b/>
          <w:color w:val="auto"/>
        </w:rPr>
        <w:t xml:space="preserve">Kostenleitfaden </w:t>
      </w:r>
      <w:r w:rsidR="00EE7278" w:rsidRPr="009F1470">
        <w:rPr>
          <w:b/>
          <w:color w:val="auto"/>
        </w:rPr>
        <w:t>3.1</w:t>
      </w:r>
      <w:bookmarkEnd w:id="0"/>
      <w:r w:rsidRPr="008310E0">
        <w:rPr>
          <w:color w:val="auto"/>
        </w:rPr>
        <w:t>.</w:t>
      </w:r>
    </w:p>
    <w:p w14:paraId="3F84671E" w14:textId="1EBF5005" w:rsidR="00613DC6" w:rsidRDefault="00613DC6" w:rsidP="00613DC6">
      <w:r>
        <w:t xml:space="preserve">Die elektronische Einreichung des </w:t>
      </w:r>
      <w:proofErr w:type="spellStart"/>
      <w:r>
        <w:t>Phasing</w:t>
      </w:r>
      <w:proofErr w:type="spellEnd"/>
      <w:r>
        <w:t>-out-Plans erfolgt via FFG-</w:t>
      </w:r>
      <w:proofErr w:type="spellStart"/>
      <w:r>
        <w:t>eCall</w:t>
      </w:r>
      <w:proofErr w:type="spellEnd"/>
      <w:r>
        <w:t xml:space="preserve"> </w:t>
      </w:r>
      <w:r w:rsidRPr="007A3F12">
        <w:t xml:space="preserve">bis </w:t>
      </w:r>
      <w:r w:rsidR="00EB357F">
        <w:rPr>
          <w:b/>
        </w:rPr>
        <w:t>30</w:t>
      </w:r>
      <w:r w:rsidRPr="007A3F12">
        <w:rPr>
          <w:b/>
        </w:rPr>
        <w:t>.09.202</w:t>
      </w:r>
      <w:r w:rsidR="00EB357F">
        <w:rPr>
          <w:b/>
        </w:rPr>
        <w:t>4</w:t>
      </w:r>
      <w:r w:rsidRPr="00613DC6">
        <w:rPr>
          <w:b/>
        </w:rPr>
        <w:t>, 12:00h CET</w:t>
      </w:r>
      <w:r>
        <w:t>.</w:t>
      </w:r>
    </w:p>
    <w:p w14:paraId="53BA5410" w14:textId="7BEE034D" w:rsidR="00613DC6" w:rsidRDefault="00613DC6" w:rsidP="00613DC6">
      <w:pPr>
        <w:pStyle w:val="berschrift1"/>
      </w:pPr>
      <w:r w:rsidRPr="00613DC6">
        <w:t>Förderungsvertrag</w:t>
      </w:r>
    </w:p>
    <w:p w14:paraId="648F7572" w14:textId="77777777" w:rsidR="00613DC6" w:rsidRDefault="00613DC6" w:rsidP="00613DC6">
      <w:r>
        <w:t xml:space="preserve">Nach der </w:t>
      </w:r>
      <w:proofErr w:type="spellStart"/>
      <w:r>
        <w:t>eCall</w:t>
      </w:r>
      <w:proofErr w:type="spellEnd"/>
      <w:r>
        <w:t xml:space="preserve">-Einreichung werden Ihnen im </w:t>
      </w:r>
      <w:proofErr w:type="spellStart"/>
      <w:r>
        <w:t>eCall</w:t>
      </w:r>
      <w:proofErr w:type="spellEnd"/>
      <w:r>
        <w:t xml:space="preserve"> die </w:t>
      </w:r>
      <w:r w:rsidRPr="00613DC6">
        <w:rPr>
          <w:b/>
        </w:rPr>
        <w:t>Eckdaten Ihres künftigen Förderungsvertrags</w:t>
      </w:r>
      <w:r>
        <w:t xml:space="preserve"> dargestellt. Diese sind zu prüfen und Änderungen im </w:t>
      </w:r>
      <w:proofErr w:type="spellStart"/>
      <w:r>
        <w:t>eCall</w:t>
      </w:r>
      <w:proofErr w:type="spellEnd"/>
      <w:r>
        <w:t xml:space="preserve">-Formular bekannt zu geben. Innerhalb von 4 Wochen ist via Einreichung im </w:t>
      </w:r>
      <w:proofErr w:type="spellStart"/>
      <w:r>
        <w:t>eCall</w:t>
      </w:r>
      <w:proofErr w:type="spellEnd"/>
      <w:r>
        <w:t xml:space="preserve"> bekannt zu geben, ob Sie die in Aussicht gestellte Förderung in Anspruch nehmen wollen.</w:t>
      </w:r>
    </w:p>
    <w:p w14:paraId="6E998A8D" w14:textId="54273718" w:rsidR="00613DC6" w:rsidRDefault="00613DC6" w:rsidP="00613DC6">
      <w:r>
        <w:t xml:space="preserve">Liegen </w:t>
      </w:r>
      <w:r w:rsidRPr="00613DC6">
        <w:rPr>
          <w:b/>
        </w:rPr>
        <w:t xml:space="preserve">Auflagen </w:t>
      </w:r>
      <w:r w:rsidRPr="00613DC6">
        <w:t xml:space="preserve">vor </w:t>
      </w:r>
      <w:r>
        <w:t xml:space="preserve">Ausstellung des Fördervertrages vor, müssen diese im </w:t>
      </w:r>
      <w:proofErr w:type="spellStart"/>
      <w:r>
        <w:t>eCall</w:t>
      </w:r>
      <w:proofErr w:type="spellEnd"/>
      <w:r>
        <w:t xml:space="preserve"> erfüllt sein, bevor ein Abschluss der Kont</w:t>
      </w:r>
      <w:r w:rsidR="00B51446">
        <w:t>rolle der Eckdaten möglich ist.</w:t>
      </w:r>
    </w:p>
    <w:p w14:paraId="136531E5" w14:textId="77777777" w:rsidR="00613DC6" w:rsidRDefault="00613DC6" w:rsidP="00613DC6">
      <w:r>
        <w:t xml:space="preserve">Nach Annahme der Eckdaten im </w:t>
      </w:r>
      <w:proofErr w:type="spellStart"/>
      <w:r>
        <w:t>eCall</w:t>
      </w:r>
      <w:proofErr w:type="spellEnd"/>
      <w:r>
        <w:t xml:space="preserve"> wird der von der FFG digital unterschriebene </w:t>
      </w:r>
      <w:r w:rsidRPr="00613DC6">
        <w:rPr>
          <w:b/>
        </w:rPr>
        <w:t>Förderungsvertrag</w:t>
      </w:r>
      <w:r>
        <w:t xml:space="preserve"> im </w:t>
      </w:r>
      <w:proofErr w:type="spellStart"/>
      <w:r>
        <w:t>eCall</w:t>
      </w:r>
      <w:proofErr w:type="spellEnd"/>
      <w:r>
        <w:t xml:space="preserve"> erstellt (unter Reiter „Vertrag“). Der Vertrag wird dann rechtskräftig, wenn Sie das </w:t>
      </w:r>
      <w:r w:rsidRPr="00613DC6">
        <w:rPr>
          <w:b/>
        </w:rPr>
        <w:t>Unterschriftenblatt</w:t>
      </w:r>
      <w:r>
        <w:t xml:space="preserve"> firmenmäßig gezeichnet via </w:t>
      </w:r>
      <w:proofErr w:type="spellStart"/>
      <w:r>
        <w:t>eCall</w:t>
      </w:r>
      <w:proofErr w:type="spellEnd"/>
      <w:r>
        <w:t xml:space="preserve"> eingereicht haben.</w:t>
      </w:r>
    </w:p>
    <w:p w14:paraId="2C37DC9C" w14:textId="48980EA2" w:rsidR="00613DC6" w:rsidRDefault="00613DC6" w:rsidP="00613DC6">
      <w:r>
        <w:t xml:space="preserve">Allfällige noch nicht erfüllte </w:t>
      </w:r>
      <w:r w:rsidRPr="00613DC6">
        <w:rPr>
          <w:b/>
        </w:rPr>
        <w:t>Auflagen vor</w:t>
      </w:r>
      <w:r>
        <w:t xml:space="preserve"> Auszahlung der </w:t>
      </w:r>
      <w:r w:rsidRPr="00613DC6">
        <w:rPr>
          <w:b/>
        </w:rPr>
        <w:t>Startrate</w:t>
      </w:r>
      <w:r>
        <w:t xml:space="preserve"> können erst dann erfüllt werden, wenn das Unterschriftenblatt eingereicht</w:t>
      </w:r>
      <w:r w:rsidR="00B51446">
        <w:t xml:space="preserve"> und von der FFG geprüft wurde.</w:t>
      </w:r>
    </w:p>
    <w:p w14:paraId="750188AC" w14:textId="6D30CF2C" w:rsidR="00613DC6" w:rsidRDefault="00613DC6" w:rsidP="00613DC6">
      <w:r>
        <w:t xml:space="preserve">Vor Auszahlung der Startrate ist das Vorhandensein einer gültigen </w:t>
      </w:r>
      <w:r w:rsidRPr="00613DC6">
        <w:rPr>
          <w:b/>
        </w:rPr>
        <w:t>Kooperationsvereinbarung (Agreement</w:t>
      </w:r>
      <w:r>
        <w:t xml:space="preserve">) zu bestätigen. Anpassungen für die </w:t>
      </w:r>
      <w:proofErr w:type="spellStart"/>
      <w:r>
        <w:t>Phasing</w:t>
      </w:r>
      <w:proofErr w:type="spellEnd"/>
      <w:r>
        <w:t>-out-Periode (allfällige Änderungen) können auch in einem sogenannten „</w:t>
      </w:r>
      <w:proofErr w:type="spellStart"/>
      <w:r>
        <w:t>Amendment</w:t>
      </w:r>
      <w:proofErr w:type="spellEnd"/>
      <w:r>
        <w:t>“ zum bestehenden Zentrums-Agreement vorgenommen werden.</w:t>
      </w:r>
    </w:p>
    <w:p w14:paraId="0488A99F" w14:textId="0C81ED01" w:rsidR="00613DC6" w:rsidRDefault="00613DC6" w:rsidP="00613DC6">
      <w:r w:rsidRPr="007A3ADA">
        <w:t>Darüber hinaus müssen mindestens 50% der wissenschaftlichen Partner und mindestens 50% aller Unternehmenspartner das Agreement bzw. das Amendement unterschrieben haben und zusätzlich mindestens 50% der Partnerbeitragsleistungen abgedeckt sein.</w:t>
      </w:r>
    </w:p>
    <w:p w14:paraId="6F6DEBA5" w14:textId="161FD5BF" w:rsidR="00613DC6" w:rsidRDefault="00613DC6" w:rsidP="00613DC6">
      <w:pPr>
        <w:pStyle w:val="berschrift1"/>
      </w:pPr>
      <w:r w:rsidRPr="00613DC6">
        <w:lastRenderedPageBreak/>
        <w:t>Ratenschema und Berichtswesen</w:t>
      </w:r>
    </w:p>
    <w:p w14:paraId="571ABE7A" w14:textId="2F2849F2" w:rsidR="00613DC6" w:rsidRDefault="00613DC6" w:rsidP="00613DC6">
      <w:r>
        <w:t xml:space="preserve">Die Startrate wird nach Vorliegen des unterzeichneten Förderungsvertrags sowie der Erfüllung relevanter Auflagen ausbezahlt und das </w:t>
      </w:r>
      <w:r w:rsidR="00B51446">
        <w:t>Projekt auf „laufend“ gestellt.</w:t>
      </w:r>
    </w:p>
    <w:p w14:paraId="5E57AED7" w14:textId="06ABA34C" w:rsidR="00613DC6" w:rsidRDefault="00613DC6" w:rsidP="00613DC6">
      <w:r>
        <w:t xml:space="preserve">Innerhalb von drei Monaten nach Ende der Förderungsperiode des </w:t>
      </w:r>
      <w:proofErr w:type="spellStart"/>
      <w:r>
        <w:t>Phasing</w:t>
      </w:r>
      <w:proofErr w:type="spellEnd"/>
      <w:r>
        <w:t xml:space="preserve">-out ist ein Endbericht zu legen, wonach die </w:t>
      </w:r>
      <w:proofErr w:type="spellStart"/>
      <w:r>
        <w:t>Endrate</w:t>
      </w:r>
      <w:proofErr w:type="spellEnd"/>
      <w:r>
        <w:t xml:space="preserve"> ausbezahlt wird.</w:t>
      </w:r>
    </w:p>
    <w:p w14:paraId="0BB349D4" w14:textId="048E77B8" w:rsidR="00613DC6" w:rsidRDefault="00613DC6" w:rsidP="00613DC6">
      <w:pPr>
        <w:pStyle w:val="Beschriftung"/>
        <w:keepNext/>
      </w:pPr>
      <w:r>
        <w:t xml:space="preserve">Tabelle </w:t>
      </w:r>
      <w:r w:rsidR="009F1470">
        <w:fldChar w:fldCharType="begin"/>
      </w:r>
      <w:r w:rsidR="009F1470">
        <w:instrText xml:space="preserve"> SEQ Tabelle \* ARABIC </w:instrText>
      </w:r>
      <w:r w:rsidR="009F1470">
        <w:fldChar w:fldCharType="separate"/>
      </w:r>
      <w:r w:rsidR="009C3495">
        <w:rPr>
          <w:noProof/>
        </w:rPr>
        <w:t>1</w:t>
      </w:r>
      <w:r w:rsidR="009F1470">
        <w:rPr>
          <w:noProof/>
        </w:rPr>
        <w:fldChar w:fldCharType="end"/>
      </w:r>
      <w:r>
        <w:t xml:space="preserve"> Ratenschema </w:t>
      </w:r>
      <w:proofErr w:type="spellStart"/>
      <w:r>
        <w:t>Phasing</w:t>
      </w:r>
      <w:proofErr w:type="spellEnd"/>
      <w:r>
        <w:t>-out</w:t>
      </w:r>
    </w:p>
    <w:tbl>
      <w:tblPr>
        <w:tblStyle w:val="Listentabelle3Akzent1"/>
        <w:tblW w:w="8926" w:type="dxa"/>
        <w:tblLook w:val="04A0" w:firstRow="1" w:lastRow="0" w:firstColumn="1" w:lastColumn="0" w:noHBand="0" w:noVBand="1"/>
        <w:tblCaption w:val="Phasing out Ratenschema"/>
        <w:tblDescription w:val="Anazhl der Berichte und Verteilung der Raten"/>
      </w:tblPr>
      <w:tblGrid>
        <w:gridCol w:w="3256"/>
        <w:gridCol w:w="5670"/>
      </w:tblGrid>
      <w:tr w:rsidR="00613DC6" w:rsidRPr="00613DC6" w14:paraId="5BFD1FAA" w14:textId="77777777" w:rsidTr="00B51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4E9EC38A" w14:textId="77777777" w:rsidR="00613DC6" w:rsidRPr="00613DC6" w:rsidRDefault="00613DC6" w:rsidP="00613DC6">
            <w:pPr>
              <w:spacing w:after="0"/>
              <w:rPr>
                <w:b w:val="0"/>
                <w:bCs w:val="0"/>
                <w:color w:val="FFFFFF" w:themeColor="background1"/>
                <w:sz w:val="24"/>
                <w:lang w:val="de-DE"/>
              </w:rPr>
            </w:pPr>
            <w:r w:rsidRPr="00613DC6">
              <w:rPr>
                <w:color w:val="FFFFFF" w:themeColor="background1"/>
                <w:sz w:val="24"/>
              </w:rPr>
              <w:t>Berichtsanzahl und Raten</w:t>
            </w:r>
          </w:p>
        </w:tc>
        <w:tc>
          <w:tcPr>
            <w:tcW w:w="5670" w:type="dxa"/>
          </w:tcPr>
          <w:p w14:paraId="3BC05156" w14:textId="77777777" w:rsidR="00613DC6" w:rsidRPr="00613DC6" w:rsidRDefault="00613DC6" w:rsidP="00613DC6">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lang w:val="de-DE"/>
              </w:rPr>
            </w:pPr>
            <w:r w:rsidRPr="00613DC6">
              <w:rPr>
                <w:color w:val="FFFFFF" w:themeColor="background1"/>
                <w:sz w:val="24"/>
              </w:rPr>
              <w:t>max. 12 Monate Projektlaufzeit</w:t>
            </w:r>
          </w:p>
        </w:tc>
      </w:tr>
      <w:tr w:rsidR="00613DC6" w:rsidRPr="00613DC6" w14:paraId="4BDEE9D3" w14:textId="77777777" w:rsidTr="00B5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B4AB48" w14:textId="77777777" w:rsidR="00613DC6" w:rsidRPr="00613DC6" w:rsidRDefault="00613DC6" w:rsidP="00613DC6">
            <w:pPr>
              <w:spacing w:after="0"/>
              <w:rPr>
                <w:bCs w:val="0"/>
                <w:lang w:val="de-DE"/>
              </w:rPr>
            </w:pPr>
            <w:r w:rsidRPr="00613DC6">
              <w:rPr>
                <w:color w:val="auto"/>
              </w:rPr>
              <w:t>Anzahl der Berichte</w:t>
            </w:r>
          </w:p>
        </w:tc>
        <w:tc>
          <w:tcPr>
            <w:tcW w:w="5670" w:type="dxa"/>
          </w:tcPr>
          <w:p w14:paraId="661B998F" w14:textId="77777777" w:rsidR="00613DC6" w:rsidRPr="00613DC6" w:rsidRDefault="00613DC6" w:rsidP="00613DC6">
            <w:pPr>
              <w:spacing w:after="0"/>
              <w:cnfStyle w:val="000000100000" w:firstRow="0" w:lastRow="0" w:firstColumn="0" w:lastColumn="0" w:oddVBand="0" w:evenVBand="0" w:oddHBand="1" w:evenHBand="0" w:firstRowFirstColumn="0" w:firstRowLastColumn="0" w:lastRowFirstColumn="0" w:lastRowLastColumn="0"/>
              <w:rPr>
                <w:bCs/>
                <w:lang w:val="de-DE"/>
              </w:rPr>
            </w:pPr>
            <w:r w:rsidRPr="00613DC6">
              <w:t>1 Endbericht</w:t>
            </w:r>
          </w:p>
        </w:tc>
      </w:tr>
      <w:tr w:rsidR="00613DC6" w:rsidRPr="00613DC6" w14:paraId="1E61DED4" w14:textId="77777777" w:rsidTr="00B51446">
        <w:tc>
          <w:tcPr>
            <w:cnfStyle w:val="001000000000" w:firstRow="0" w:lastRow="0" w:firstColumn="1" w:lastColumn="0" w:oddVBand="0" w:evenVBand="0" w:oddHBand="0" w:evenHBand="0" w:firstRowFirstColumn="0" w:firstRowLastColumn="0" w:lastRowFirstColumn="0" w:lastRowLastColumn="0"/>
            <w:tcW w:w="3256" w:type="dxa"/>
          </w:tcPr>
          <w:p w14:paraId="41BD2C8D" w14:textId="014D3D7C" w:rsidR="00613DC6" w:rsidRPr="00613DC6" w:rsidRDefault="00613DC6" w:rsidP="00613DC6">
            <w:pPr>
              <w:spacing w:after="0"/>
              <w:rPr>
                <w:bCs w:val="0"/>
                <w:lang w:val="de-DE"/>
              </w:rPr>
            </w:pPr>
            <w:r w:rsidRPr="00613DC6">
              <w:rPr>
                <w:color w:val="auto"/>
              </w:rPr>
              <w:t>1. Rate</w:t>
            </w:r>
          </w:p>
        </w:tc>
        <w:tc>
          <w:tcPr>
            <w:tcW w:w="5670" w:type="dxa"/>
          </w:tcPr>
          <w:p w14:paraId="11630274" w14:textId="77777777" w:rsidR="00613DC6" w:rsidRPr="00613DC6" w:rsidRDefault="00613DC6" w:rsidP="00613DC6">
            <w:pPr>
              <w:spacing w:after="0"/>
              <w:cnfStyle w:val="000000000000" w:firstRow="0" w:lastRow="0" w:firstColumn="0" w:lastColumn="0" w:oddVBand="0" w:evenVBand="0" w:oddHBand="0" w:evenHBand="0" w:firstRowFirstColumn="0" w:firstRowLastColumn="0" w:lastRowFirstColumn="0" w:lastRowLastColumn="0"/>
              <w:rPr>
                <w:bCs/>
                <w:lang w:val="de-DE"/>
              </w:rPr>
            </w:pPr>
            <w:r w:rsidRPr="00613DC6">
              <w:rPr>
                <w:bCs/>
                <w:lang w:val="de-DE"/>
              </w:rPr>
              <w:t>Startrate nach Unterzeichnung Förderungsvertrag und Erfüllung Auflagen vor Startrate</w:t>
            </w:r>
          </w:p>
        </w:tc>
      </w:tr>
      <w:tr w:rsidR="00613DC6" w:rsidRPr="00613DC6" w14:paraId="7D0752D8" w14:textId="77777777" w:rsidTr="00B5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AE37D2" w14:textId="26C41F63" w:rsidR="00613DC6" w:rsidRPr="00613DC6" w:rsidRDefault="00613DC6" w:rsidP="00613DC6">
            <w:pPr>
              <w:spacing w:after="0"/>
              <w:rPr>
                <w:bCs w:val="0"/>
                <w:lang w:val="de-DE"/>
              </w:rPr>
            </w:pPr>
            <w:proofErr w:type="spellStart"/>
            <w:r w:rsidRPr="00613DC6">
              <w:rPr>
                <w:color w:val="auto"/>
              </w:rPr>
              <w:t>Endrate</w:t>
            </w:r>
            <w:proofErr w:type="spellEnd"/>
          </w:p>
        </w:tc>
        <w:tc>
          <w:tcPr>
            <w:tcW w:w="5670" w:type="dxa"/>
          </w:tcPr>
          <w:p w14:paraId="55A02DBB" w14:textId="77777777" w:rsidR="00613DC6" w:rsidRPr="00613DC6" w:rsidRDefault="00613DC6" w:rsidP="00613DC6">
            <w:pPr>
              <w:spacing w:after="0"/>
              <w:cnfStyle w:val="000000100000" w:firstRow="0" w:lastRow="0" w:firstColumn="0" w:lastColumn="0" w:oddVBand="0" w:evenVBand="0" w:oddHBand="1" w:evenHBand="0" w:firstRowFirstColumn="0" w:firstRowLastColumn="0" w:lastRowFirstColumn="0" w:lastRowLastColumn="0"/>
              <w:rPr>
                <w:bCs/>
                <w:lang w:val="de-DE"/>
              </w:rPr>
            </w:pPr>
            <w:r w:rsidRPr="00613DC6">
              <w:t>10% der genehmigten Gesamtförderung</w:t>
            </w:r>
          </w:p>
        </w:tc>
      </w:tr>
    </w:tbl>
    <w:p w14:paraId="01A44E9D" w14:textId="5203CCA1" w:rsidR="00613DC6" w:rsidRDefault="00613DC6" w:rsidP="00B51446">
      <w:pPr>
        <w:spacing w:before="220"/>
      </w:pPr>
      <w:r>
        <w:t xml:space="preserve">Die Auszahlung der </w:t>
      </w:r>
      <w:proofErr w:type="spellStart"/>
      <w:r>
        <w:t>Endrate</w:t>
      </w:r>
      <w:proofErr w:type="spellEnd"/>
      <w:r>
        <w:t xml:space="preserve"> in Höhe von mindestens 10% des insgesamt zugesicherten Förderungsbetrages erfolgt erst nach Erfüllung aller Bedingungen (Endabrechnung, Endbericht, etc.) und nach Prüfung und Genehmigung des Verwendungsnachweises (Entlastung) durch die FFG.</w:t>
      </w:r>
    </w:p>
    <w:p w14:paraId="76CE277C" w14:textId="7A6A7A9F" w:rsidR="00613DC6" w:rsidRDefault="00613DC6" w:rsidP="00613DC6">
      <w:pPr>
        <w:pStyle w:val="berschrift1"/>
      </w:pPr>
      <w:r w:rsidRPr="00613DC6">
        <w:t>Bundeslandfinanzierung</w:t>
      </w:r>
    </w:p>
    <w:p w14:paraId="61EF110F" w14:textId="75EDF666" w:rsidR="00613DC6" w:rsidRPr="00613DC6" w:rsidRDefault="00613DC6" w:rsidP="00613DC6">
      <w:r w:rsidRPr="00613DC6">
        <w:t xml:space="preserve">Der </w:t>
      </w:r>
      <w:proofErr w:type="spellStart"/>
      <w:r w:rsidRPr="00613DC6">
        <w:t>Phasing</w:t>
      </w:r>
      <w:proofErr w:type="spellEnd"/>
      <w:r w:rsidRPr="00613DC6">
        <w:t>-out-Plan muss auch an die zuständige Stelle des betreffenden Bundeslandes bzw. der betreffenden Bundesländer zu den jeweils vorgegebenen Bedingungen und Fristen übermittelt werden. Die Höhe der Länderanteile sind mit den zuständigen Stellen zu akkordieren.</w:t>
      </w:r>
    </w:p>
    <w:sectPr w:rsidR="00613DC6" w:rsidRPr="00613DC6" w:rsidSect="00D34A89">
      <w:headerReference w:type="default" r:id="rId9"/>
      <w:footerReference w:type="even" r:id="rId10"/>
      <w:headerReference w:type="first" r:id="rId11"/>
      <w:footerReference w:type="first" r:id="rId12"/>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eastAsia="de-AT"/>
      </w:rPr>
      <w:drawing>
        <wp:anchor distT="0" distB="0" distL="114300" distR="114300" simplePos="0" relativeHeight="251658240" behindDoc="0" locked="1" layoutInCell="1" allowOverlap="1" wp14:anchorId="35072177" wp14:editId="3C9CB9A1">
          <wp:simplePos x="0" y="0"/>
          <wp:positionH relativeFrom="rightMargin">
            <wp:posOffset>-1466850</wp:posOffset>
          </wp:positionH>
          <wp:positionV relativeFrom="topMargin">
            <wp:posOffset>523875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 w:numId="9">
    <w:abstractNumId w:val="2"/>
    <w:lvlOverride w:ilvl="1">
      <w:lvl w:ilvl="1">
        <w:start w:val="1"/>
        <w:numFmt w:val="decimal"/>
        <w:pStyle w:val="berschrift2"/>
        <w:lvlText w:val="%1.%2"/>
        <w:lvlJc w:val="left"/>
        <w:pPr>
          <w:ind w:left="7938"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AAB"/>
    <w:rsid w:val="00017DE1"/>
    <w:rsid w:val="00024AF7"/>
    <w:rsid w:val="00024E02"/>
    <w:rsid w:val="0002534A"/>
    <w:rsid w:val="00025ACF"/>
    <w:rsid w:val="0005613B"/>
    <w:rsid w:val="000648C1"/>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5EA0"/>
    <w:rsid w:val="00355FD7"/>
    <w:rsid w:val="0037274B"/>
    <w:rsid w:val="003862C1"/>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154"/>
    <w:rsid w:val="004C5C6A"/>
    <w:rsid w:val="004E7F19"/>
    <w:rsid w:val="005010EE"/>
    <w:rsid w:val="00511707"/>
    <w:rsid w:val="00515AE4"/>
    <w:rsid w:val="00516926"/>
    <w:rsid w:val="00522F1F"/>
    <w:rsid w:val="00526E9E"/>
    <w:rsid w:val="0052766F"/>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1909"/>
    <w:rsid w:val="005F3C66"/>
    <w:rsid w:val="006071DF"/>
    <w:rsid w:val="0061149F"/>
    <w:rsid w:val="00613DC6"/>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E74A9"/>
    <w:rsid w:val="006F3AA5"/>
    <w:rsid w:val="007037AE"/>
    <w:rsid w:val="00706659"/>
    <w:rsid w:val="00706B3B"/>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A3ADA"/>
    <w:rsid w:val="007A3F12"/>
    <w:rsid w:val="007B02BB"/>
    <w:rsid w:val="007B418F"/>
    <w:rsid w:val="007B5973"/>
    <w:rsid w:val="007B66D9"/>
    <w:rsid w:val="007B6D9C"/>
    <w:rsid w:val="007C4807"/>
    <w:rsid w:val="007C5081"/>
    <w:rsid w:val="007C5CC6"/>
    <w:rsid w:val="007C5F54"/>
    <w:rsid w:val="007D5AE2"/>
    <w:rsid w:val="007E17AB"/>
    <w:rsid w:val="007E305C"/>
    <w:rsid w:val="007F09B5"/>
    <w:rsid w:val="007F2BA1"/>
    <w:rsid w:val="008121CA"/>
    <w:rsid w:val="00821DC4"/>
    <w:rsid w:val="008270CC"/>
    <w:rsid w:val="00831075"/>
    <w:rsid w:val="008310E0"/>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25B0"/>
    <w:rsid w:val="00945B57"/>
    <w:rsid w:val="009652C5"/>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3495"/>
    <w:rsid w:val="009C7C18"/>
    <w:rsid w:val="009E0750"/>
    <w:rsid w:val="009E0F0E"/>
    <w:rsid w:val="009E1EBF"/>
    <w:rsid w:val="009E32E3"/>
    <w:rsid w:val="009F1470"/>
    <w:rsid w:val="009F359B"/>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22FB"/>
    <w:rsid w:val="00B24793"/>
    <w:rsid w:val="00B43062"/>
    <w:rsid w:val="00B445ED"/>
    <w:rsid w:val="00B44CA0"/>
    <w:rsid w:val="00B51446"/>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22F3"/>
    <w:rsid w:val="00C12BFB"/>
    <w:rsid w:val="00C23BD0"/>
    <w:rsid w:val="00C40B1E"/>
    <w:rsid w:val="00C447B3"/>
    <w:rsid w:val="00C528CE"/>
    <w:rsid w:val="00C600F0"/>
    <w:rsid w:val="00C6324C"/>
    <w:rsid w:val="00C6737F"/>
    <w:rsid w:val="00C75207"/>
    <w:rsid w:val="00C815F4"/>
    <w:rsid w:val="00C85A75"/>
    <w:rsid w:val="00C87F76"/>
    <w:rsid w:val="00C913A0"/>
    <w:rsid w:val="00C93332"/>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7EC4"/>
    <w:rsid w:val="00D45DFE"/>
    <w:rsid w:val="00D465CC"/>
    <w:rsid w:val="00D5174C"/>
    <w:rsid w:val="00D5230D"/>
    <w:rsid w:val="00D535AD"/>
    <w:rsid w:val="00D614BF"/>
    <w:rsid w:val="00D6280A"/>
    <w:rsid w:val="00D65034"/>
    <w:rsid w:val="00D66226"/>
    <w:rsid w:val="00D81C66"/>
    <w:rsid w:val="00D81DBF"/>
    <w:rsid w:val="00D82A06"/>
    <w:rsid w:val="00DA4A03"/>
    <w:rsid w:val="00DA7A3C"/>
    <w:rsid w:val="00DB6505"/>
    <w:rsid w:val="00DB664E"/>
    <w:rsid w:val="00DC46CB"/>
    <w:rsid w:val="00DC5438"/>
    <w:rsid w:val="00DC701C"/>
    <w:rsid w:val="00DD1149"/>
    <w:rsid w:val="00DD285D"/>
    <w:rsid w:val="00DD4425"/>
    <w:rsid w:val="00DE481A"/>
    <w:rsid w:val="00DE4ECC"/>
    <w:rsid w:val="00DF0E00"/>
    <w:rsid w:val="00DF46C6"/>
    <w:rsid w:val="00DF6A0E"/>
    <w:rsid w:val="00E16AFD"/>
    <w:rsid w:val="00E2064E"/>
    <w:rsid w:val="00E20822"/>
    <w:rsid w:val="00E22F92"/>
    <w:rsid w:val="00E30FAD"/>
    <w:rsid w:val="00E42287"/>
    <w:rsid w:val="00E43793"/>
    <w:rsid w:val="00E46F64"/>
    <w:rsid w:val="00E51735"/>
    <w:rsid w:val="00E62663"/>
    <w:rsid w:val="00E65D6B"/>
    <w:rsid w:val="00E828B5"/>
    <w:rsid w:val="00E82FC5"/>
    <w:rsid w:val="00E85DD9"/>
    <w:rsid w:val="00E86EB6"/>
    <w:rsid w:val="00E87A73"/>
    <w:rsid w:val="00E90013"/>
    <w:rsid w:val="00E9642F"/>
    <w:rsid w:val="00EA12A7"/>
    <w:rsid w:val="00EA5E4D"/>
    <w:rsid w:val="00EB0506"/>
    <w:rsid w:val="00EB2DF5"/>
    <w:rsid w:val="00EB357F"/>
    <w:rsid w:val="00EB6781"/>
    <w:rsid w:val="00EC4550"/>
    <w:rsid w:val="00ED1014"/>
    <w:rsid w:val="00ED24AD"/>
    <w:rsid w:val="00EE1E65"/>
    <w:rsid w:val="00EE4A85"/>
    <w:rsid w:val="00EE5D35"/>
    <w:rsid w:val="00EE7278"/>
    <w:rsid w:val="00F03367"/>
    <w:rsid w:val="00F04AD9"/>
    <w:rsid w:val="00F10D61"/>
    <w:rsid w:val="00F15D0D"/>
    <w:rsid w:val="00F30BD7"/>
    <w:rsid w:val="00F33374"/>
    <w:rsid w:val="00F33C1A"/>
    <w:rsid w:val="00F46D83"/>
    <w:rsid w:val="00F523A6"/>
    <w:rsid w:val="00F54074"/>
    <w:rsid w:val="00F63169"/>
    <w:rsid w:val="00F63D13"/>
    <w:rsid w:val="00F65C89"/>
    <w:rsid w:val="00F73CCF"/>
    <w:rsid w:val="00F8670F"/>
    <w:rsid w:val="00F8730D"/>
    <w:rsid w:val="00F942B6"/>
    <w:rsid w:val="00F96B06"/>
    <w:rsid w:val="00FA0C7C"/>
    <w:rsid w:val="00FA254B"/>
    <w:rsid w:val="00FA34C3"/>
    <w:rsid w:val="00FA4A00"/>
    <w:rsid w:val="00FB069A"/>
    <w:rsid w:val="00FB7958"/>
    <w:rsid w:val="00FC042B"/>
    <w:rsid w:val="00FC1C4E"/>
    <w:rsid w:val="00FD59FB"/>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uiPriority w:val="39"/>
    <w:rsid w:val="0061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met/projektdurchfueh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FCE944E-7C05-47CC-B385-BD25205B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COMET Centre K1 C6</dc:title>
  <dc:subject/>
  <dc:creator>FFG</dc:creator>
  <cp:keywords/>
  <dc:description/>
  <cp:lastModifiedBy>Nicole Firnberg</cp:lastModifiedBy>
  <cp:revision>13</cp:revision>
  <cp:lastPrinted>2022-06-27T08:14:00Z</cp:lastPrinted>
  <dcterms:created xsi:type="dcterms:W3CDTF">2022-06-27T08:14:00Z</dcterms:created>
  <dcterms:modified xsi:type="dcterms:W3CDTF">2024-06-24T09:08:00Z</dcterms:modified>
</cp:coreProperties>
</file>